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D45" w:rsidRDefault="00DD73D5" w:rsidP="00933D45">
      <w:pPr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181818"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645910" cy="9122491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D5" w:rsidRDefault="00DD73D5" w:rsidP="00933D45">
      <w:pPr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DD73D5" w:rsidRDefault="00DD73D5" w:rsidP="00933D45">
      <w:pPr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DD73D5" w:rsidRDefault="00DD73D5" w:rsidP="00933D45">
      <w:pPr>
        <w:shd w:val="clear" w:color="auto" w:fill="FFFFFF"/>
        <w:spacing w:before="0" w:beforeAutospacing="0" w:after="0" w:afterAutospacing="0"/>
        <w:ind w:firstLine="851"/>
        <w:jc w:val="center"/>
        <w:rPr>
          <w:b/>
          <w:bCs/>
          <w:color w:val="181818"/>
          <w:sz w:val="24"/>
          <w:szCs w:val="24"/>
          <w:lang w:val="ru-RU" w:eastAsia="ru-RU"/>
        </w:rPr>
      </w:pP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center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color w:val="181818"/>
          <w:sz w:val="24"/>
          <w:szCs w:val="24"/>
          <w:lang w:val="ru-RU" w:eastAsia="ru-RU"/>
        </w:rPr>
        <w:lastRenderedPageBreak/>
        <w:t>Пояснительная записка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           В повседневной жизни, участвуя в разных видах деятельности, ребенок с тяжелыми и множественными нарушениями развития нередко попадает в ситуации, требующие от него использования математических знаний. Так, накрывая на стол на трёх человек, нужно поставить три тарелки, три столовых прибора и др.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У большинства обычно развивающихся детей основы математических представлений формируются в естественных ситуациях. Дети с выраженным нарушением интеллекта не могут овладеть элементарными математическими представлениями без специально организованного обучения. Создание ситуаций, в которых дети непроизвольно осваивают доступные для них элементы математики, является основным подходом в обучении. В конечном итоге важно, чтобы ребенок научился применять математические представления в повседневной жизни: определять время по часам, узнавать номер автобуса, расплатиться в магазине за покупку, взять необходимое количество продуктов для приготовления блюда и т.п.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Знания, умения, навыки, приобретаемые ребенком в ходе освоения программного материала по математике, необходимы ему для ориентировки в окружающей действительности, т.е. во временных, количественных, пространственных отношениях, решении повседневных задач. Умение устанавливать взаимно-однозначные соответствия могут использоваться при сервировке стола, при раздаче материала и инструментов участникам какого-либо общего дела, при посадке семян в горшочки и т.д. Умение пересчитывать предметы пригодится при выборе ингредиентов для приготовления блюда, отсчитывании заданного количества листов в блокноте, определении количества испеченных пирожков, изготовленных блокнотов и т.д. Зная цифры, ребенок сможет сообщить дату рождения, домашний адрес, номер телефона, различить дни на календаре, номер автобуса, сориентироваться в программе телевизионных передач и др. Представления об объемных геометрических телах и плоскостных геометрических фигурах, их свойствах пригодятся ребенку на занятиях по аппликации, лепке, рисованию, труду. Освоение навыков простейших измерений, умения пользоваться инструментами (мерной кружкой, весами и т.д.) помогут ребенку отмерить нужное количество моющего средства, необходимое для стирки белья, определенное количество крупы для приготовления каши. Поэтому </w:t>
      </w:r>
      <w:r w:rsidRPr="00933D45">
        <w:rPr>
          <w:i/>
          <w:iCs/>
          <w:color w:val="181818"/>
          <w:sz w:val="24"/>
          <w:szCs w:val="24"/>
          <w:lang w:val="ru-RU" w:eastAsia="ru-RU"/>
        </w:rPr>
        <w:t>актуальность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 </w:t>
      </w:r>
      <w:r w:rsidRPr="00933D45">
        <w:rPr>
          <w:color w:val="181818"/>
          <w:sz w:val="24"/>
          <w:szCs w:val="24"/>
          <w:lang w:val="ru-RU" w:eastAsia="ru-RU"/>
        </w:rPr>
        <w:t>предмета обусловлена тем, что одними из самых сложных знаний, умений и навыков, включенных в содержание общественного опыта, которым овладевают подрастающие поколения, являются математические. Они носят отвлеченный характер, оперирование ими требует выполнения системы сложных умственных действий. В повседневной жизни, в быту и в играх ребенок достаточно рано начинает встречаться с такими ситуациями, которые требуют применения, хотя и элементарного, но все же математического решения (приготовить угощение для друзей, накрыть стол для кукол, разделить конфеты поровну и т.д.), знания таких отношений, как «много», «мало», «больше», «меньше», «поровну», умения определить количество предметов во множестве, а также  выбрать соответствующее количество элементов из множества и т.д. Сначала с помощью взрослых, а затем самостоятельно дети разрешают возникающие проблемы. Таким образом, уже в дошкольном возрасте дети знакомятся с математическим содержанием и овладевают элементарными вычислительными умениями, а формирование у них элементарных математических представлений является одним из важных направлений работы школьных учреждений.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С учетом этого одной из первоочередных </w:t>
      </w:r>
      <w:r w:rsidRPr="00933D45">
        <w:rPr>
          <w:i/>
          <w:iCs/>
          <w:color w:val="181818"/>
          <w:sz w:val="24"/>
          <w:szCs w:val="24"/>
          <w:u w:val="single"/>
          <w:lang w:val="ru-RU" w:eastAsia="ru-RU"/>
        </w:rPr>
        <w:t>задач</w:t>
      </w:r>
      <w:r w:rsidRPr="00933D45">
        <w:rPr>
          <w:color w:val="181818"/>
          <w:sz w:val="24"/>
          <w:szCs w:val="24"/>
          <w:lang w:val="ru-RU" w:eastAsia="ru-RU"/>
        </w:rPr>
        <w:t> начального этапа коррекционной работы является установление с такими детьми личностного эмоционально положительного контакта и делового сотрудничества. С этой </w:t>
      </w:r>
      <w:r w:rsidRPr="00933D45">
        <w:rPr>
          <w:i/>
          <w:iCs/>
          <w:color w:val="181818"/>
          <w:sz w:val="24"/>
          <w:szCs w:val="24"/>
          <w:u w:val="single"/>
          <w:lang w:val="ru-RU" w:eastAsia="ru-RU"/>
        </w:rPr>
        <w:t>целью</w:t>
      </w:r>
      <w:r w:rsidRPr="00933D45">
        <w:rPr>
          <w:color w:val="181818"/>
          <w:sz w:val="24"/>
          <w:szCs w:val="24"/>
          <w:lang w:val="ru-RU" w:eastAsia="ru-RU"/>
        </w:rPr>
        <w:t> широко применяются различного рода игровые задания, сюрпризные моменты. Игрушки используются для того, чтобы привлечь внимание детей к выполнению заданий. Перед детьми ставятся игровые задачи («Поиграть с куклой», «Помочь кукле» и т.п.), но, выполняя их, они решают познавательные задачи – различают и выделяют предметы по образцу, создают группы одинаковых предметов по образцу и др. Максимальное использование предметно-практических действий и игровых приемов заинтересовывает и активизирует малышей, дает педагогу возможность наладить с ними деловое сотрудничество, сформировать интерес к занятиям. Детям особенно нравится, когда игрушка (кукла, зайчик) их «хвалит», «обнимает»: это повышает внимание, активность, желание, выполнять задания.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u w:val="single"/>
          <w:lang w:val="ru-RU" w:eastAsia="ru-RU"/>
        </w:rPr>
        <w:t>Обучающей задачей</w:t>
      </w:r>
      <w:r w:rsidRPr="00933D45">
        <w:rPr>
          <w:color w:val="181818"/>
          <w:sz w:val="24"/>
          <w:szCs w:val="24"/>
          <w:lang w:val="ru-RU" w:eastAsia="ru-RU"/>
        </w:rPr>
        <w:t xml:space="preserve"> является получение на занятиях представления о различных признаках предметов, обучение сравнивать и устанавливать взаимно однозначные соответствия, получение </w:t>
      </w:r>
      <w:r w:rsidRPr="00933D45">
        <w:rPr>
          <w:color w:val="181818"/>
          <w:sz w:val="24"/>
          <w:szCs w:val="24"/>
          <w:lang w:val="ru-RU" w:eastAsia="ru-RU"/>
        </w:rPr>
        <w:lastRenderedPageBreak/>
        <w:t>представлений о количестве и числе, элементарных математических представлений о форме, величине, количественных (дочисловых), пространственных, временных представлений и др.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u w:val="single"/>
          <w:lang w:val="ru-RU" w:eastAsia="ru-RU"/>
        </w:rPr>
        <w:t>Цель обучения</w:t>
      </w:r>
      <w:r w:rsidRPr="00933D45">
        <w:rPr>
          <w:color w:val="181818"/>
          <w:sz w:val="24"/>
          <w:szCs w:val="24"/>
          <w:lang w:val="ru-RU" w:eastAsia="ru-RU"/>
        </w:rPr>
        <w:t> – формирование элементарных математических представлений и умения применять их в повседневной жизни.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«Математические представления» как систематический курс начинается с 1 дополнительного класса и представлен разделами: «Количественные представления», «Представления о форме», «Представления о величине», «Пространственные представления», «Временные представления».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Тем обучающимся, для которых материал предмета недоступен, содержание «Математических представлений» не включается в индивидуальную образовательную программу и предмет не вносится в их индивидуальный учебный план.  Математика как предмет является прикладным по отношению к другим видам учебной деятельности умственно отсталых детей (музыке, физкультуре, изобразительной деятельности), а также проводится и как отдельный урок. Занятия организованы в игровой форме, на материале, знакомом для ребёнка и часто используемом в жизни (игрушки, элементы одежды, посуда, пища).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color w:val="181818"/>
          <w:sz w:val="24"/>
          <w:szCs w:val="24"/>
          <w:lang w:val="ru-RU" w:eastAsia="ru-RU"/>
        </w:rPr>
        <w:t>    Описание места учебного предмета в учебном плане: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Курс «Математические представления» рассчитан на 338 часов. В 1 (доп.) классе на изучение курса отводится 66 часов (2 часа в неделю, 33 учебные недели). В 1 – 4 классах – 68 часов (2 часа в неделю, 34 учебные недели).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В учебном плане предмет представлен на каждой ступени обучения.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lang w:val="ru-RU" w:eastAsia="ru-RU"/>
        </w:rPr>
        <w:t>Особенности курса:</w:t>
      </w:r>
      <w:r w:rsidRPr="00933D45">
        <w:rPr>
          <w:color w:val="181818"/>
          <w:sz w:val="24"/>
          <w:szCs w:val="24"/>
          <w:lang w:val="ru-RU" w:eastAsia="ru-RU"/>
        </w:rPr>
        <w:t> В связи с особенностями психического развития детей с нарушением интеллекта все обучение носит наглядно-практический характер, т.е. математические представления они усваивают, наблюдая за действиями педагога, в процессе собственных практических действий с реальными предметами. Математическое развитие ребёнка с тяжёлыми и множественными нарушениями развития идёт в единстве с процессом развития, воспитания, овладения речью и развитием наглядных форм мышления. Осваивается на уровне, доступном индивидуально каждому ребёнку. Осуществляя действия по подражанию, дети видят каждый предмет, находящийся в руке педагога, и каждое выполняемое им действие: выбор необходимого предмета, способы деятельности с ним и последовательность выполнения действий – дается в готовом виде. Однако на первых порах даже выполнение заданий по подражанию может вызывать трудности, поэтому довольно часто приходится прибегать к совместным действиям: педагог берет руку ребенка в свою и совместно с ним выполняет нужное действие. (Совместные действия используются в самом начале обучения, а в дальнейшем – при формировании новых навыков и выполнении сложных заданий.) Совместные действия и действия по подражанию готовят ребенка к выполнению действий по образцу, а затем по словесной инструкции.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Первоначально все задания, предлагаемые на занятии, должны иметь как вербальную, так и невербальную форму выполнения: многие воспитанники специальных школьных учреждений недостаточно владеют речью или практически не владеют ею. Дети должны иметь возможность наблюдать речевое поведение взрослого и подражать ему. Выполняя какие-либо действия, педагог сопровождает их речью, а также дает словесный отчет о проделанных действиях. Кроме того, опыт действий ребенка вначале четко фиксируется в речи педагога, а затем и в собственных высказываниях ребенка. Используемый дефектологом прием комментирующей речи собственных действий и действий детей подготавливает их к овладению активной речью.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Знакомство с предметами, с их качественными или количественными признаками осуществляется последовательно.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Вначале педагог устанавливает связь между предметом, качественным или количественным признаком и их названием: указывает на предмет (или признак предмета) и ясно, четко произносит его название. (Это кубик. Большой мяч. Один гриб.)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Далее педагог произносит название предмета (или признака), а ребенок должен показать или дать соответствующий предмет педагогу, выделив его среди других. (Дай мне кубик. Покажи большой мяч. Возьми один гриб.)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И, наконец, педагог указывает на предмет (признак) и просит ребенка назвать его. Что это? (Это кубик?) Какого размера мяч? (Большой мяч.) Сколько грибов? (Один гриб.) Так пассивный словарь становится активным.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lastRenderedPageBreak/>
        <w:t>Выяснение математических свойств проводят на основе сравнения такими </w:t>
      </w:r>
      <w:r w:rsidRPr="00933D45">
        <w:rPr>
          <w:i/>
          <w:iCs/>
          <w:color w:val="181818"/>
          <w:sz w:val="24"/>
          <w:szCs w:val="24"/>
          <w:lang w:val="ru-RU" w:eastAsia="ru-RU"/>
        </w:rPr>
        <w:t>приемами</w:t>
      </w:r>
      <w:r w:rsidRPr="00933D45">
        <w:rPr>
          <w:color w:val="181818"/>
          <w:sz w:val="24"/>
          <w:szCs w:val="24"/>
          <w:lang w:val="ru-RU" w:eastAsia="ru-RU"/>
        </w:rPr>
        <w:t>, как наложение и приложение. При первичном выделении того или иного признака (качественного или количественного) сопоставляются контрастные предметы (количества предметов), отличающиеся только данным признаком. Например, чтобы сформировать понятия длинный - короткий, подбирают два предмета одного цвета, одинаковые по ширине и толщине, отличающиеся только длиной (разница в длине должна быть не менее 10-15 см). Чтобы дать представление о количестве один - много, используют абсолютно одинаковые предметы: кладут на стол много однородных предметов, выделяют из группы один предмет и говорят: «Здесь один, а здесь много» (пять-десять предметов).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В школьном учреждении для детей с нарушением интеллекта занятия по формированию элементарных математических представлений проводятся по подгруппам (пять - шесть детей) в соответствии с уровнем их развития или индивидуально. Особенности психофизического развития детей с ТМНР определяют специфику их образовательных потребностей. Часть детей, отнесенных к категории обучающихся с ТМНР, имеют тяжёлые опорно-двигательные нарушения неврологического генеза (сложные формы ДЦП, спастический тетрапарез, гиперкинез и т.д.), вследствие которых они полностью или почти полностью зависимы от посторонней помощи в передвижении, самообслуживании, предметной деятельности и коммуникации. Большинство детей этой группы не могут самостоятельно удерживать своё тело в сидячем положении (спастичность конечностей). Процесс общения затруднен в связи с несформированностью языковых средств и парезами органов речи.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Интеллектуальное развитие детей с ТМНР различно. Степень умственной отсталости колеблется от умеренной до глубокой. Развитие тех детей, у которых менее выражено интеллектуальное недоразвитие, благоприятствует формированию представлений, умений и навыков, значимых для их социальной адаптации. Так, у двоих детей в классе проявляется интерес к общению и взаимодействию, что является предпосылкой для их обучения, использованию невербальных средств коммуникации (жесты, мимика, графические изображения и др.). Способность детей выполнять отдельные двигательные действия (захват, удержание предмета, контролируемые движения шеи и др.) создаёт предпосылки для обучения. Трое детей в классе нуждаются в постоянном уходе, являются лежачими, не встают, не говорят. У четверых детей в классе речь отсутствует, поэтому программа направлена на стимуляцию слухового и зрительного анализаторов, а также на эмоциональный отклик у ребенка. У одной девочки речь плохо развита, но ребенок стремится к общению, интересуется различными видами пособий, книг и др. Эта девочка называет цифры, но не по порядку, пытается считать, используя игрушки. Учиться называть геометрические фигуры, обводить цифры.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color w:val="181818"/>
          <w:sz w:val="24"/>
          <w:szCs w:val="24"/>
          <w:lang w:val="ru-RU" w:eastAsia="ru-RU"/>
        </w:rPr>
        <w:t>   Задачи:</w:t>
      </w:r>
      <w:r w:rsidRPr="00933D45">
        <w:rPr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1.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формировать умение различать количество предметов.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2.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выделять один предмет из группы и составлять группу из отдельных предметов.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3.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сравнивать предметы по величине, форме.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4.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учить различать, сравнивать и преобразовывать множества (один – много).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5.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учить различать части суток, соотносить действие с временными промежутками.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6.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определять время по часам.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7.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учить соотносить число с соответствующим количеством предметов, обозначать его цифрой.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8.</w:t>
      </w:r>
      <w:r w:rsidRPr="00933D45">
        <w:rPr>
          <w:color w:val="181818"/>
          <w:sz w:val="14"/>
          <w:szCs w:val="14"/>
          <w:lang w:val="ru-RU" w:eastAsia="ru-RU"/>
        </w:rPr>
        <w:t>      </w:t>
      </w:r>
      <w:r w:rsidRPr="00933D45">
        <w:rPr>
          <w:color w:val="181818"/>
          <w:sz w:val="24"/>
          <w:szCs w:val="24"/>
          <w:lang w:val="ru-RU" w:eastAsia="ru-RU"/>
        </w:rPr>
        <w:t>учить пересчитывать предметы в доступных ребенку пределах.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Коррекционные задачи:</w:t>
      </w:r>
      <w:r w:rsidRPr="00933D45">
        <w:rPr>
          <w:color w:val="181818"/>
          <w:sz w:val="24"/>
          <w:szCs w:val="24"/>
          <w:lang w:val="ru-RU" w:eastAsia="ru-RU"/>
        </w:rPr>
        <w:t> 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Через формирование учебных навыков корректировать недостатки внимания, памяти, мелкой моторики рук, развитие зрительно-слухового внимания, ориентировочных реакций, понимания элементарных инструкций.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     Основные </w:t>
      </w:r>
      <w:r w:rsidRPr="00933D45">
        <w:rPr>
          <w:i/>
          <w:iCs/>
          <w:color w:val="181818"/>
          <w:sz w:val="24"/>
          <w:szCs w:val="24"/>
          <w:lang w:val="ru-RU" w:eastAsia="ru-RU"/>
        </w:rPr>
        <w:t>формы и методы обучения</w:t>
      </w:r>
      <w:r w:rsidRPr="00933D45">
        <w:rPr>
          <w:color w:val="181818"/>
          <w:sz w:val="24"/>
          <w:szCs w:val="24"/>
          <w:lang w:val="ru-RU" w:eastAsia="ru-RU"/>
        </w:rPr>
        <w:t> - это практические уп</w:t>
      </w:r>
      <w:r w:rsidRPr="00933D45">
        <w:rPr>
          <w:color w:val="181818"/>
          <w:sz w:val="24"/>
          <w:szCs w:val="24"/>
          <w:lang w:val="ru-RU" w:eastAsia="ru-RU"/>
        </w:rPr>
        <w:softHyphen/>
        <w:t>ражнения и опыты, зарисовки в тетрадях, экскурсии, беседы, ди</w:t>
      </w:r>
      <w:r w:rsidRPr="00933D45">
        <w:rPr>
          <w:color w:val="181818"/>
          <w:sz w:val="24"/>
          <w:szCs w:val="24"/>
          <w:lang w:val="ru-RU" w:eastAsia="ru-RU"/>
        </w:rPr>
        <w:softHyphen/>
        <w:t>дактические игры, чтение пословиц и поговорок, народных примет, стихов, рассказов, рассматривание картин.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На всех уроках используются </w:t>
      </w:r>
      <w:r w:rsidRPr="00933D45">
        <w:rPr>
          <w:i/>
          <w:iCs/>
          <w:color w:val="181818"/>
          <w:sz w:val="24"/>
          <w:szCs w:val="24"/>
          <w:lang w:val="ru-RU" w:eastAsia="ru-RU"/>
        </w:rPr>
        <w:t>принципы</w:t>
      </w:r>
      <w:r w:rsidRPr="00933D45">
        <w:rPr>
          <w:color w:val="181818"/>
          <w:sz w:val="24"/>
          <w:szCs w:val="24"/>
          <w:lang w:val="ru-RU" w:eastAsia="ru-RU"/>
        </w:rPr>
        <w:t> наглядности, доступно</w:t>
      </w:r>
      <w:r w:rsidRPr="00933D45">
        <w:rPr>
          <w:color w:val="181818"/>
          <w:sz w:val="24"/>
          <w:szCs w:val="24"/>
          <w:lang w:val="ru-RU" w:eastAsia="ru-RU"/>
        </w:rPr>
        <w:softHyphen/>
        <w:t>сти, практической направленности,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 </w:t>
      </w:r>
      <w:r w:rsidRPr="00933D45">
        <w:rPr>
          <w:color w:val="181818"/>
          <w:sz w:val="24"/>
          <w:szCs w:val="24"/>
          <w:lang w:val="ru-RU" w:eastAsia="ru-RU"/>
        </w:rPr>
        <w:t>коррекции. Каждый урок по</w:t>
      </w:r>
      <w:r w:rsidRPr="00933D45">
        <w:rPr>
          <w:color w:val="181818"/>
          <w:sz w:val="24"/>
          <w:szCs w:val="24"/>
          <w:lang w:val="ru-RU" w:eastAsia="ru-RU"/>
        </w:rPr>
        <w:softHyphen/>
        <w:t>строен так, чтобы он мог доставить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 </w:t>
      </w:r>
      <w:r w:rsidRPr="00933D45">
        <w:rPr>
          <w:color w:val="181818"/>
          <w:sz w:val="24"/>
          <w:szCs w:val="24"/>
          <w:lang w:val="ru-RU" w:eastAsia="ru-RU"/>
        </w:rPr>
        <w:t>детям радость познания и вы</w:t>
      </w:r>
      <w:r w:rsidRPr="00933D45">
        <w:rPr>
          <w:color w:val="181818"/>
          <w:sz w:val="24"/>
          <w:szCs w:val="24"/>
          <w:lang w:val="ru-RU" w:eastAsia="ru-RU"/>
        </w:rPr>
        <w:softHyphen/>
        <w:t>звать желание повторной встречи с учителем. Выбор </w:t>
      </w:r>
      <w:r w:rsidRPr="00933D45">
        <w:rPr>
          <w:i/>
          <w:iCs/>
          <w:color w:val="181818"/>
          <w:sz w:val="24"/>
          <w:szCs w:val="24"/>
          <w:lang w:val="ru-RU" w:eastAsia="ru-RU"/>
        </w:rPr>
        <w:t>методов</w:t>
      </w:r>
      <w:r w:rsidRPr="00933D45">
        <w:rPr>
          <w:color w:val="181818"/>
          <w:sz w:val="24"/>
          <w:szCs w:val="24"/>
          <w:lang w:val="ru-RU" w:eastAsia="ru-RU"/>
        </w:rPr>
        <w:t> и </w:t>
      </w:r>
      <w:r w:rsidRPr="00933D45">
        <w:rPr>
          <w:i/>
          <w:iCs/>
          <w:color w:val="181818"/>
          <w:sz w:val="24"/>
          <w:szCs w:val="24"/>
          <w:lang w:val="ru-RU" w:eastAsia="ru-RU"/>
        </w:rPr>
        <w:t>приемов</w:t>
      </w:r>
      <w:r w:rsidRPr="00933D45">
        <w:rPr>
          <w:color w:val="181818"/>
          <w:sz w:val="24"/>
          <w:szCs w:val="24"/>
          <w:lang w:val="ru-RU" w:eastAsia="ru-RU"/>
        </w:rPr>
        <w:t> обучения на каждом занятии зависит от новизны изучаемого материала и от состава детей в каждой подгруппе.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 xml:space="preserve">Так, в ходе формирования новых знаний и умений сначала всех детей учат выполнять действия по подражанию, при этом педагог дает образец речевого сопровождения каждого действия. </w:t>
      </w:r>
      <w:r w:rsidRPr="00933D45">
        <w:rPr>
          <w:color w:val="181818"/>
          <w:sz w:val="24"/>
          <w:szCs w:val="24"/>
          <w:lang w:val="ru-RU" w:eastAsia="ru-RU"/>
        </w:rPr>
        <w:lastRenderedPageBreak/>
        <w:t>На следующих занятиях методы и приемы обучения в первой подгруппе (дети с негрубо выраженной умственной отсталостью) и во второй подгруппе (дети более слабые в интеллектуальном отношении) разные. В первой подгруппе можно переходить к выполнению действий по образцу и даже словесной инструкции, можно потребовать от воспитанников сопровождения своих действий речью и отчета о проделанной работе. Во второй же подгруппе, как и прежде, используются действия по подражанию и совместные действия, и педагог сам сопровождает речью все действия детей.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В соответствии с требованиями ФГОС к Адаптированной основной общеобразовательной программе образования обучающихся с умеренной, тяжелой и глубокой умственной отсталостью (интеллектуальными нарушениями), тяжелыми и множественными нарушениями развития (вариант 2) на 2015 – 2016 г. г. 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обучающегося. </w:t>
      </w:r>
      <w:r w:rsidRPr="00933D45">
        <w:rPr>
          <w:color w:val="181818"/>
          <w:sz w:val="24"/>
          <w:szCs w:val="24"/>
          <w:lang w:val="ru-RU" w:eastAsia="ru-RU"/>
        </w:rPr>
        <w:t>В связи с этим, требования к результатам освоения образовательных программ представляют собой описание 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возможных результатов </w:t>
      </w:r>
      <w:r w:rsidRPr="00933D45">
        <w:rPr>
          <w:color w:val="181818"/>
          <w:sz w:val="24"/>
          <w:szCs w:val="24"/>
          <w:lang w:val="ru-RU" w:eastAsia="ru-RU"/>
        </w:rPr>
        <w:t>образования данной категории обучающихся.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u w:val="single"/>
          <w:lang w:val="ru-RU" w:eastAsia="ru-RU"/>
        </w:rPr>
        <w:t>Критерии оценивания результатов обучения: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Мониторинг результатов обучения проводится не реже одного раза в полугодие. В ходе обучения специалисты образовательной организации учитывают степень самостоятельности ребенка, т. е. оценивают уровень сформированности действий/операций и представлений, внесенных в СИПР. Например: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«выполняет действие самостоятельно»,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«выполняет действие по инструкции» (вербальной или невербальной),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«выполняет действие по образцу»,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«выполняет действие с частичной физической помощью»,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«выполняет действие со значительной физической помощью»,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«действие не выполняет»,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«узнает объект»,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«не всегда узнает объект»,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«не узнает объект».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        Результаты образования за оцениваемый период оформляются описательно в виде характеристики. На основе этой характеристики составляется СИПР на следующий учебный период.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Итоговые достижения обучающихся с умственной отсталостью определяются </w:t>
      </w:r>
      <w:r w:rsidRPr="00933D45">
        <w:rPr>
          <w:b/>
          <w:bCs/>
          <w:color w:val="181818"/>
          <w:sz w:val="24"/>
          <w:szCs w:val="24"/>
          <w:lang w:val="ru-RU" w:eastAsia="ru-RU"/>
        </w:rPr>
        <w:t>индивидуальными </w:t>
      </w:r>
      <w:r w:rsidRPr="00933D45">
        <w:rPr>
          <w:color w:val="181818"/>
          <w:sz w:val="24"/>
          <w:szCs w:val="24"/>
          <w:lang w:val="ru-RU" w:eastAsia="ru-RU"/>
        </w:rPr>
        <w:t>возможностями ребенка с тяжелыми и множественными нарушениями развития и тем, что его образование направлено на максимальное развитие жизненной компетенции.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color w:val="181818"/>
          <w:sz w:val="24"/>
          <w:szCs w:val="24"/>
          <w:lang w:val="ru-RU" w:eastAsia="ru-RU"/>
        </w:rPr>
        <w:t>Содержание учебного предмета: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lang w:val="ru-RU" w:eastAsia="ru-RU"/>
        </w:rPr>
        <w:t>     Временные представления.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Различение частей суток («утро», «день», «вечер», «ночь»). Соотнесение действия с временным промежутком («сейчас», «вчера», «сегодня», «завтра»). Составление последовательности событий. Соотнесение времени с началом и концом деятельности.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lang w:val="ru-RU" w:eastAsia="ru-RU"/>
        </w:rPr>
        <w:t>     Количественные представления.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Нахождение одинаковых предметов. Разъединение множеств. Объединение предметов в единое множество. Различение множеств («один», «много», «мало»). Сравнение множеств (без пересчета, с пересчетом).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Преобразование множеств (увеличение множества, уменьшение множества, уравнивание множеств). Представление о числовой последовательности. Пересчет предметов. Узнавание цифр. Соотнесение цифры с количеством предметов. Написание цифры. Представление множества двумя другими множествами. Решение задач на увеличение на несколько единиц. Решение задач на уменьшение на несколько единиц.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lang w:val="ru-RU" w:eastAsia="ru-RU"/>
        </w:rPr>
        <w:t>     Представления о величине.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Различение по величине однородных и разнородных предметов. Сравнение предметов по величине. Составление упорядоченного ряда (по убыванию, по возрастанию). Различение по длине однородных и разнородных предметов. Сравнение предметов по длине. Различение по ширине однородных и разнородных предметов. Сравнение предметов по ширине. Различение предметов по высоте. Сравнение предметов по высоте. Различение предметов по весу. Сравнение предметов по весу.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lang w:val="ru-RU" w:eastAsia="ru-RU"/>
        </w:rPr>
        <w:lastRenderedPageBreak/>
        <w:t>     Представление о форме.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Различение круглых и некруглых геометрических фигур. Соотнесение геометрических фигур с названием. Соотнесение предмета с, геометрической фигурой. Рисование геометрической фигуры («треугольник», «квадрат», «прямоугольник», «круг»).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i/>
          <w:iCs/>
          <w:color w:val="181818"/>
          <w:sz w:val="24"/>
          <w:szCs w:val="24"/>
          <w:lang w:val="ru-RU" w:eastAsia="ru-RU"/>
        </w:rPr>
        <w:t>     Пространственные представления.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Пространственные представления (вверх, вниз, вперед, назад, вправо, влево).  Определение месторасположения предметов в пространстве («близко», «около», «рядом», «далеко», «сверху», «снизу», «спереди», «сзади», «справа», «слева»). Перемещение в пространстве в заданном направлении («вверх», «вниз», «вперёд», «назад», «вправо», «влево»). Ориентация на плоскости («верх», «низ», «середина», «правая сторона», «левая сторона»). Составление предмета из двух и нескольких частей. Составление картинки из нескольких частей. Составление ряда из предметов, изображений. Определение месторасположения предметов в ряду.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 </w:t>
      </w:r>
    </w:p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b/>
          <w:bCs/>
          <w:i/>
          <w:iCs/>
          <w:color w:val="181818"/>
          <w:sz w:val="24"/>
          <w:szCs w:val="24"/>
          <w:lang w:val="ru-RU" w:eastAsia="ru-RU"/>
        </w:rPr>
        <w:t>Календарно-поурочное планирование</w:t>
      </w:r>
    </w:p>
    <w:tbl>
      <w:tblPr>
        <w:tblW w:w="10469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744"/>
        <w:gridCol w:w="7556"/>
        <w:gridCol w:w="1048"/>
        <w:gridCol w:w="1121"/>
      </w:tblGrid>
      <w:tr w:rsidR="00933D45" w:rsidRPr="00933D45" w:rsidTr="00933D45">
        <w:trPr>
          <w:trHeight w:val="728"/>
        </w:trPr>
        <w:tc>
          <w:tcPr>
            <w:tcW w:w="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75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Колич часов</w:t>
            </w:r>
          </w:p>
        </w:tc>
        <w:tc>
          <w:tcPr>
            <w:tcW w:w="11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Дата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«большой – маленький»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«большой – маленький»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предметов по величине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предметов по величине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Игра «Что лишнее?»   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Игра «Что лишнее?»   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31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Части суток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51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Части суток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Работа с сюжетными картинками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Работа с сюжетными картинками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«длинный – короткий»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«длинный – короткий»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предметов по длине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предметов по длине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разноцветных полосок по длине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разноцветных полосок по длине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Изучение основных цветов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Изучение основных цветов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«круг»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«круг»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«круг». Дидактические игры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«круг». Дидактические игры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«квадрат»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«квадрат»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«квадрат». Дидактические игры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lastRenderedPageBreak/>
              <w:t>26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Геометрическая фигура «квадрат». Дидактические игры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Повторение названий геометрических фигур «круг», «квадрат»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Повторение названий геометрических фигур «круг», «квадрат»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Штриховка геометрических фигур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30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Штриховка геометрических фигур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5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Штриховка геометрических фигур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Рисование геометрических фигур по шаблону, образцу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Рисование геометрических фигур по шаблону, образцу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Рисование геометрических фигур по шаблону, образцу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Временные представления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Временные представления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Временные представления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372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Работа с сюжетными картинками. Повторение временных представлений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394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Работа с сюжетными картинками. Повторение временных представлений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556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Работа с сюжетными картинками. Повторение временных представлений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Последовательность времен года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Времена года. Сравнение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Зимние месяцы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Весенние месяцы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Летние месяцы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Осенние месяцы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47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«мало», «много»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«мало», «много»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49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понятий «много-мало»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Сравнение понятий «много-мало»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«много – мало – один»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Понятия «много – мало – один»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Повторение понятий «много – мало – один»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Повторение понятий «много – мало – один»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93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Число и цифра 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Число и цифра 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57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Закрепление понятий «один-много», повторение числа и цифры 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58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Закрепление понятий «один-много», повторение числа и цифры 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188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«Что пропало?»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322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«Соедини половинки»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61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«Соедини половинки»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ind w:right="142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«Что сначала, что потом?»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«Что сначала, что потом?»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«Найди пару»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70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Дидактическая игра «Найди пару»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66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Итоговое занятие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  <w:tr w:rsidR="00933D45" w:rsidRPr="00933D45" w:rsidTr="00933D45">
        <w:trPr>
          <w:trHeight w:val="285"/>
        </w:trPr>
        <w:tc>
          <w:tcPr>
            <w:tcW w:w="7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755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3D45" w:rsidRPr="00933D45" w:rsidRDefault="00933D45" w:rsidP="00933D45">
            <w:pPr>
              <w:spacing w:before="0" w:beforeAutospacing="0" w:after="0" w:afterAutospacing="0"/>
              <w:jc w:val="center"/>
              <w:rPr>
                <w:color w:val="181818"/>
                <w:sz w:val="24"/>
                <w:szCs w:val="24"/>
                <w:lang w:val="ru-RU" w:eastAsia="ru-RU"/>
              </w:rPr>
            </w:pPr>
            <w:r w:rsidRPr="00933D45">
              <w:rPr>
                <w:color w:val="181818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933D45" w:rsidRPr="00933D45" w:rsidRDefault="00933D45" w:rsidP="00933D45">
      <w:p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81818"/>
          <w:sz w:val="21"/>
          <w:szCs w:val="21"/>
          <w:lang w:val="ru-RU" w:eastAsia="ru-RU"/>
        </w:rPr>
      </w:pPr>
      <w:r w:rsidRPr="00933D45">
        <w:rPr>
          <w:color w:val="181818"/>
          <w:sz w:val="24"/>
          <w:szCs w:val="24"/>
          <w:lang w:val="ru-RU" w:eastAsia="ru-RU"/>
        </w:rPr>
        <w:t> </w:t>
      </w:r>
    </w:p>
    <w:p w:rsidR="00380B79" w:rsidRDefault="00380B79"/>
    <w:sectPr w:rsidR="00380B79" w:rsidSect="00933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51148"/>
    <w:rsid w:val="00051148"/>
    <w:rsid w:val="00380B79"/>
    <w:rsid w:val="00564CA0"/>
    <w:rsid w:val="00730F9C"/>
    <w:rsid w:val="00933D45"/>
    <w:rsid w:val="00CE0986"/>
    <w:rsid w:val="00DD73D5"/>
    <w:rsid w:val="00EC6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D45"/>
    <w:pPr>
      <w:spacing w:before="100" w:beforeAutospacing="1" w:after="100" w:afterAutospacing="1" w:line="240" w:lineRule="auto"/>
    </w:pPr>
    <w:rPr>
      <w:rFonts w:eastAsia="Times New Roman" w:cs="Times New Roman"/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45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45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3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3066</Words>
  <Characters>17482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Конкина Анна Евгенье</cp:lastModifiedBy>
  <cp:revision>7</cp:revision>
  <cp:lastPrinted>2023-08-22T09:42:00Z</cp:lastPrinted>
  <dcterms:created xsi:type="dcterms:W3CDTF">2023-01-10T16:06:00Z</dcterms:created>
  <dcterms:modified xsi:type="dcterms:W3CDTF">2023-10-26T21:01:00Z</dcterms:modified>
</cp:coreProperties>
</file>