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F9" w:rsidRDefault="00D305F9" w:rsidP="00D305F9">
      <w:pPr>
        <w:numPr>
          <w:ilvl w:val="0"/>
          <w:numId w:val="1"/>
        </w:numPr>
        <w:autoSpaceDE w:val="0"/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</w:rPr>
        <w:t>Пояснительная записка</w:t>
      </w:r>
    </w:p>
    <w:p w:rsidR="00D305F9" w:rsidRDefault="00D305F9" w:rsidP="00D305F9">
      <w:pPr>
        <w:spacing w:after="0" w:line="210" w:lineRule="atLeast"/>
        <w:ind w:left="435" w:right="75"/>
        <w:jc w:val="both"/>
        <w:rPr>
          <w:rFonts w:ascii="Times New Roman" w:eastAsia="Times New Roman" w:hAnsi="Times New Roman"/>
          <w:sz w:val="20"/>
          <w:szCs w:val="20"/>
        </w:rPr>
      </w:pP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 xml:space="preserve">Данная рабочая программа составлена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 основе Федерального Государственного стандарта</w:t>
      </w:r>
      <w:r>
        <w:rPr>
          <w:rFonts w:ascii="Times New Roman" w:eastAsia="Times New Roman" w:hAnsi="Times New Roman"/>
          <w:bCs/>
          <w:sz w:val="20"/>
          <w:szCs w:val="20"/>
        </w:rPr>
        <w:t>, требований к результатам освоения основной образовательной программы основного общего образования, программы курса химии для 9 классов общеобразовательных учреждений, предметная линия учебников О.С. Габриеляна.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bCs/>
          <w:sz w:val="20"/>
          <w:szCs w:val="20"/>
        </w:rPr>
        <w:t>Изучение химии в основной школе призвано обеспечить:</w:t>
      </w: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bCs/>
          <w:i/>
          <w:sz w:val="20"/>
          <w:szCs w:val="20"/>
        </w:rPr>
        <w:t>формирование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у учащихся химической картины мира как органической части его целостной естественно-научной картины,</w:t>
      </w: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bCs/>
          <w:i/>
          <w:sz w:val="20"/>
          <w:szCs w:val="20"/>
        </w:rPr>
        <w:t>развитие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познавательных интересов, </w:t>
      </w:r>
      <w:proofErr w:type="gramStart"/>
      <w:r>
        <w:rPr>
          <w:rFonts w:ascii="Times New Roman" w:eastAsia="Times New Roman" w:hAnsi="Times New Roman"/>
          <w:bCs/>
          <w:sz w:val="20"/>
          <w:szCs w:val="20"/>
        </w:rPr>
        <w:t>интеллектуальных и творческих способностей</w:t>
      </w:r>
      <w:proofErr w:type="gramEnd"/>
      <w:r>
        <w:rPr>
          <w:rFonts w:ascii="Times New Roman" w:eastAsia="Times New Roman" w:hAnsi="Times New Roman"/>
          <w:bCs/>
          <w:sz w:val="20"/>
          <w:szCs w:val="20"/>
        </w:rPr>
        <w:t xml:space="preserve">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теорий о составе, строении и свойствах химических веществ,</w:t>
      </w: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bCs/>
          <w:i/>
          <w:sz w:val="20"/>
          <w:szCs w:val="20"/>
        </w:rPr>
        <w:t>воспитание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bCs/>
          <w:i/>
          <w:sz w:val="20"/>
          <w:szCs w:val="20"/>
        </w:rPr>
        <w:t>проектирование и реализация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D305F9" w:rsidRDefault="00D305F9" w:rsidP="00D305F9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>
        <w:rPr>
          <w:rFonts w:ascii="Times New Roman" w:eastAsia="Times New Roman" w:hAnsi="Times New Roman"/>
          <w:bCs/>
          <w:i/>
          <w:sz w:val="20"/>
          <w:szCs w:val="20"/>
        </w:rPr>
        <w:t>овладение ключевыми компетенциями</w:t>
      </w:r>
      <w:r>
        <w:rPr>
          <w:rFonts w:ascii="Times New Roman" w:eastAsia="Times New Roman" w:hAnsi="Times New Roman"/>
          <w:bCs/>
          <w:sz w:val="20"/>
          <w:szCs w:val="20"/>
        </w:rPr>
        <w:t>: учебно-познавательными, информационными, ценностно-смысловыми, коммуникативными.</w:t>
      </w:r>
    </w:p>
    <w:p w:rsidR="00D305F9" w:rsidRDefault="00D305F9" w:rsidP="00D305F9">
      <w:pPr>
        <w:rPr>
          <w:rFonts w:ascii="Times New Roman" w:eastAsia="Times New Roman" w:hAnsi="Times New Roman"/>
          <w:bCs/>
          <w:sz w:val="20"/>
          <w:szCs w:val="20"/>
        </w:rPr>
      </w:pPr>
    </w:p>
    <w:p w:rsidR="00D305F9" w:rsidRDefault="00D305F9" w:rsidP="00D305F9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Общая характеристика учебного предмета</w:t>
      </w:r>
    </w:p>
    <w:p w:rsidR="00D305F9" w:rsidRDefault="00D305F9" w:rsidP="00D305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D305F9" w:rsidRDefault="00D305F9" w:rsidP="00D305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«Вещество»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- взаимосвязь состава, строения свойств, получения и применения веществ и материалов; </w:t>
      </w:r>
    </w:p>
    <w:p w:rsidR="00D305F9" w:rsidRDefault="00D305F9" w:rsidP="00D305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«Химическая реакция»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D305F9" w:rsidRDefault="00D305F9" w:rsidP="00D305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«Химический язык»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символикой;</w:t>
      </w:r>
    </w:p>
    <w:p w:rsidR="00D305F9" w:rsidRDefault="00D305F9" w:rsidP="00D305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«Химия и жизнь»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- 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:rsidR="00D305F9" w:rsidRDefault="00D305F9" w:rsidP="00D305F9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D305F9" w:rsidRDefault="00D305F9" w:rsidP="00D305F9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Реализация программы курса в процессе обучения позволит обучающимся понять роль и значение химии среди других наук о природе.</w:t>
      </w:r>
    </w:p>
    <w:p w:rsidR="00D305F9" w:rsidRDefault="00D305F9" w:rsidP="00D305F9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Место курса химии в основной школе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Курс рассчитан на изучение предмета в объеме 68 учебных часов по 2 часа в неделю в 9 классе.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Программа реализована в учебниках химии Габриелян О.С., И.Г.Остроумов, С.А.Сладков. Химия 9 класс, выпущенных издательством «Просвещение» 2020 г. </w:t>
      </w:r>
    </w:p>
    <w:p w:rsidR="00D305F9" w:rsidRDefault="00D305F9" w:rsidP="00D305F9">
      <w:pPr>
        <w:pStyle w:val="a3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lastRenderedPageBreak/>
        <w:t xml:space="preserve">В связи с особенностями организации обучения в 2020-2021 учебном году </w:t>
      </w:r>
      <w:proofErr w:type="gramStart"/>
      <w:r>
        <w:rPr>
          <w:rFonts w:eastAsia="Times New Roman"/>
          <w:bCs/>
          <w:sz w:val="20"/>
          <w:szCs w:val="20"/>
        </w:rPr>
        <w:t>в рабочую программы</w:t>
      </w:r>
      <w:proofErr w:type="gramEnd"/>
      <w:r>
        <w:rPr>
          <w:rFonts w:eastAsia="Times New Roman"/>
          <w:bCs/>
          <w:sz w:val="20"/>
          <w:szCs w:val="20"/>
        </w:rPr>
        <w:t xml:space="preserve"> были внесены изменения: практические работы, самостоятельно выполняемые учащимися, вынесены в отдельный блок «Лабораторный практикум», увеличено время, направленное на повторение изученного в предыдущем курсе химии. 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здоровьесберегающего обучения, метод проектов, технологии дистанционного обучения.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</w:t>
      </w:r>
      <w:proofErr w:type="gramStart"/>
      <w:r>
        <w:rPr>
          <w:rFonts w:ascii="Times New Roman" w:eastAsia="Times New Roman" w:hAnsi="Times New Roman"/>
          <w:bCs/>
          <w:sz w:val="20"/>
          <w:szCs w:val="20"/>
        </w:rPr>
        <w:t>обучения</w:t>
      </w:r>
      <w:proofErr w:type="gramEnd"/>
      <w:r>
        <w:rPr>
          <w:rFonts w:ascii="Times New Roman" w:eastAsia="Times New Roman" w:hAnsi="Times New Roman"/>
          <w:bCs/>
          <w:sz w:val="20"/>
          <w:szCs w:val="20"/>
        </w:rPr>
        <w:t xml:space="preserve"> ученик может заниматься самостоятельно, просматривать видеоуроки, решать образовательные задачи.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Дистанционное обучение рассчитано: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на учащихся, желающих приобрести новые знания, увлеченных учебным предметом;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на тех, кто не имеет возможности получить образовательные услуги в традиционной форме по состоянию здоровья.</w:t>
      </w: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305F9" w:rsidRDefault="00D305F9" w:rsidP="00D305F9">
      <w:pPr>
        <w:pStyle w:val="a4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305F9" w:rsidRDefault="00D305F9" w:rsidP="00D305F9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Результаты освоения курса химии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:rsidR="00D305F9" w:rsidRDefault="00D305F9" w:rsidP="00D305F9">
      <w:pPr>
        <w:pStyle w:val="a4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Личностные результаты: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осознание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ответственного отношения к познанию химии;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готовности и способности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учащихся к саморазвитию и самообразованию на основе изученных фактов, законов и теорий химии; осознанного выбора и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построение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индивидуальной образовательной траектории;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целостной естественно-научной картины мира, неотъемлемой частью которой является химическая картина мира;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овладение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освоение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химией..</w:t>
      </w:r>
      <w:proofErr w:type="gramEnd"/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2. Метапредметные результаты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определение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планирование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путей достижения желаемого результата обучения химии как теоретического, так и практического характера;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соотнесение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 в соответствии с правилами техники безопасности;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определение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 использование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выявление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причинно-следственных связей и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построение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логического рассуждения и умозаключения на материале естественно-научного содержания;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развитие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экологического мышления,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8)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генерирование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идей и определение средств, необходимых для их реализации.</w:t>
      </w:r>
    </w:p>
    <w:p w:rsidR="00D305F9" w:rsidRDefault="00D305F9" w:rsidP="00D305F9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F9" w:rsidRDefault="00D305F9" w:rsidP="00D305F9">
      <w:pPr>
        <w:pStyle w:val="a4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305F9" w:rsidRDefault="00D305F9" w:rsidP="00D305F9">
      <w:pPr>
        <w:pStyle w:val="a4"/>
        <w:suppressAutoHyphens w:val="0"/>
        <w:spacing w:after="0" w:line="240" w:lineRule="auto"/>
        <w:ind w:left="9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Д.И.Менделеева;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lastRenderedPageBreak/>
        <w:t>формулирование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т.п.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понимание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информации, которую несут химические знаки, формулы, уравнения;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классифицировать простые и сложные вещества;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формулирование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Д.И.Менделеева, раскрытие значения периодического закона;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характеризовать строение вещества – виды химических связей и типы кристаллических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решеток ;</w:t>
      </w:r>
      <w:proofErr w:type="gramEnd"/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строения атомов химических элементов с порядковыми номерами 1-20 и 26, отображение их с помощью схем;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 оксидов химических элементов и соответствующих им гидроксидов;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написание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формулировать основные законы химии: постоянства состава веществ молекулярного строения, сохранения массы веществ, закон Авогадро;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признаков, условий протекания и прекращения реакций;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составление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уравнений реакций с участием электролитов также в ионной форме;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уравнений окислительно-восстановительных реакций с помощью метода электронного баланса;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применение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определение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 помощью качественных реакций хлорид-, сульфат- и карбонат-анионов и катиона аммония в растворе;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объяснение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влияния различных факторов на скорость реакций;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объяснение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многообразия простых веществ явлением аллотропии с указанием ее причин;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установление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различий гидро-, пиро – и электрометаллургии и иллюстрирование этих различий примерами промышленных способов получения металлов;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давать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общую характеристику элементов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II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VIIA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– групп, а также водорода, кислорода, азота, серы, фосфора, углерода, кремния и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образованных ими простых веществ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 важнейших соединений (строение, нахождение в природе, получение, физические и химические свойства, применение);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описывать коррозию металлов и способы защиты от нее;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производить химические расчеты по формулам и уравнениям реакций;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свойств и практического значения изученных органических веществ;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выполнение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обозначенных в программе экспериментов;</w:t>
      </w:r>
    </w:p>
    <w:p w:rsidR="00D305F9" w:rsidRDefault="00D305F9" w:rsidP="00D305F9">
      <w:pPr>
        <w:pStyle w:val="a4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соблюдение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правил безопасной работы в химическом кабинете.</w:t>
      </w:r>
    </w:p>
    <w:p w:rsidR="00D305F9" w:rsidRDefault="00D305F9" w:rsidP="00D305F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305F9" w:rsidRDefault="00D305F9" w:rsidP="00D305F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5.   Содержание учебного предмета и требования к усвоению программы</w:t>
      </w:r>
    </w:p>
    <w:p w:rsidR="00D305F9" w:rsidRDefault="00D305F9" w:rsidP="00D305F9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305F9" w:rsidRDefault="00D305F9" w:rsidP="00D305F9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Курс химии 9 класса предполагает изучение </w:t>
      </w:r>
      <w:proofErr w:type="gramStart"/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>следующих  разделов</w:t>
      </w:r>
      <w:proofErr w:type="gramEnd"/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>: «Повторение и обобщение сведений по курсу 8 класса», «Химические реакции в растворах электролитов», «Неметаллы и их соединения», «Металлы и их соединения», «Химия и окружающая среда», а также «Обобщение знаний по химии курса основной школы. Подготовка к Основному государственному экзамену»</w:t>
      </w:r>
    </w:p>
    <w:p w:rsidR="0081524D" w:rsidRDefault="00D305F9">
      <w:bookmarkStart w:id="0" w:name="_GoBack"/>
      <w:bookmarkEnd w:id="0"/>
    </w:p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79"/>
    <w:rsid w:val="000F181B"/>
    <w:rsid w:val="003E32A8"/>
    <w:rsid w:val="00BE1979"/>
    <w:rsid w:val="00D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5704-136E-489C-BC41-FE4AB61D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F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305F9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05F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D305F9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3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2023-09-15T12:15:00Z</dcterms:created>
  <dcterms:modified xsi:type="dcterms:W3CDTF">2023-09-15T12:15:00Z</dcterms:modified>
</cp:coreProperties>
</file>